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57AEC747"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A34F1E">
        <w:rPr>
          <w:rFonts w:ascii="Azo Sans Md" w:hAnsi="Azo Sans Md" w:cstheme="minorHAnsi"/>
          <w:b/>
          <w:bCs/>
          <w:sz w:val="22"/>
          <w:szCs w:val="22"/>
        </w:rPr>
        <w:t>16.635/2023</w:t>
      </w:r>
      <w:r w:rsidR="00096E01">
        <w:rPr>
          <w:rFonts w:ascii="Azo Sans Md" w:hAnsi="Azo Sans Md" w:cstheme="minorHAnsi"/>
          <w:b/>
          <w:bCs/>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A34F1E">
        <w:rPr>
          <w:rFonts w:ascii="Azo Sans Md" w:hAnsi="Azo Sans Md" w:cstheme="minorHAnsi"/>
          <w:b/>
          <w:bCs/>
          <w:sz w:val="22"/>
          <w:szCs w:val="22"/>
        </w:rPr>
        <w:t>274/2023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44521CE0" w:rsidR="001D32DF" w:rsidRPr="00096E01"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096E01">
        <w:rPr>
          <w:rFonts w:ascii="Azo Sans Lt" w:hAnsi="Azo Sans Lt" w:cstheme="minorHAnsi"/>
          <w:b w:val="0"/>
          <w:sz w:val="22"/>
          <w:szCs w:val="22"/>
        </w:rPr>
        <w:t xml:space="preserve">O objeto do presente Termo de Contrato </w:t>
      </w:r>
      <w:r w:rsidR="00096E01" w:rsidRPr="00096E01">
        <w:rPr>
          <w:rFonts w:ascii="Azo Sans Lt" w:hAnsi="Azo Sans Lt" w:cstheme="minorHAnsi"/>
          <w:b w:val="0"/>
          <w:sz w:val="22"/>
          <w:szCs w:val="22"/>
        </w:rPr>
        <w:t xml:space="preserve">consiste na </w:t>
      </w:r>
      <w:r w:rsidR="001D24B2" w:rsidRPr="001D24B2">
        <w:rPr>
          <w:rFonts w:ascii="Azo Sans Lt" w:hAnsi="Azo Sans Lt" w:cstheme="minorHAnsi"/>
          <w:b w:val="0"/>
          <w:sz w:val="22"/>
          <w:szCs w:val="22"/>
        </w:rPr>
        <w:t xml:space="preserve">Contratação de empresa especializada para </w:t>
      </w:r>
      <w:r w:rsidR="00A34F1E">
        <w:rPr>
          <w:rFonts w:ascii="Azo Sans Lt" w:hAnsi="Azo Sans Lt" w:cstheme="minorHAnsi"/>
          <w:b w:val="0"/>
          <w:sz w:val="22"/>
          <w:szCs w:val="22"/>
        </w:rPr>
        <w:t xml:space="preserve">a </w:t>
      </w:r>
      <w:r w:rsidR="00A34F1E" w:rsidRPr="00D83FAF">
        <w:rPr>
          <w:rFonts w:ascii="Azo Sans Md" w:hAnsi="Azo Sans Md"/>
          <w:sz w:val="22"/>
          <w:szCs w:val="22"/>
        </w:rPr>
        <w:t>aquisição de CENTRAL DE AR COMPRIMIDO MEDICINAL para atender às necessidades do Hospital Municipal Raul Sertã</w:t>
      </w:r>
      <w:r w:rsidR="001272CC" w:rsidRPr="00096E01">
        <w:rPr>
          <w:rFonts w:ascii="Azo Sans Lt" w:hAnsi="Azo Sans Lt" w:cstheme="minorHAnsi"/>
          <w:b w:val="0"/>
          <w:sz w:val="22"/>
          <w:szCs w:val="22"/>
        </w:rPr>
        <w:t xml:space="preserve">, </w:t>
      </w:r>
      <w:r w:rsidR="005466C3" w:rsidRPr="00096E01">
        <w:rPr>
          <w:rFonts w:ascii="Azo Sans Lt" w:hAnsi="Azo Sans Lt" w:cstheme="minorHAnsi"/>
          <w:b w:val="0"/>
          <w:sz w:val="22"/>
          <w:szCs w:val="22"/>
        </w:rPr>
        <w:t xml:space="preserve">conforme condições, quantidades e especificações contidas no TERMO DE REFERÊNCIA – ANEXO I do </w:t>
      </w:r>
      <w:r w:rsidR="00096E01">
        <w:rPr>
          <w:rFonts w:ascii="Azo Sans Lt" w:hAnsi="Azo Sans Lt" w:cstheme="minorHAnsi"/>
          <w:b w:val="0"/>
          <w:sz w:val="22"/>
          <w:szCs w:val="22"/>
        </w:rPr>
        <w:t>E</w:t>
      </w:r>
      <w:r w:rsidR="005466C3" w:rsidRPr="00096E01">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96E01">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96E01">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96E01">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96E01">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1E866FB1"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96E01">
        <w:rPr>
          <w:rFonts w:ascii="Azo Sans Lt" w:hAnsi="Azo Sans Lt" w:cstheme="minorHAnsi"/>
          <w:bCs/>
          <w:i/>
        </w:rPr>
        <w:t>caput</w:t>
      </w:r>
      <w:r w:rsidR="00096E01">
        <w:rPr>
          <w:rFonts w:ascii="Azo Sans Lt" w:hAnsi="Azo Sans Lt" w:cstheme="minorHAnsi"/>
          <w:bCs/>
          <w:iCs/>
        </w:rPr>
        <w:t xml:space="preserve">, </w:t>
      </w:r>
      <w:r w:rsidR="001D32DF" w:rsidRPr="00B13DC2">
        <w:rPr>
          <w:rFonts w:ascii="Azo Sans Lt" w:hAnsi="Azo Sans Lt" w:cstheme="minorHAnsi"/>
          <w:bCs/>
          <w:iCs/>
        </w:rPr>
        <w:t>§1º,</w:t>
      </w:r>
      <w:r w:rsidR="00080FB6">
        <w:rPr>
          <w:rFonts w:ascii="Azo Sans Lt" w:hAnsi="Azo Sans Lt" w:cstheme="minorHAnsi"/>
          <w:bCs/>
          <w:iCs/>
        </w:rPr>
        <w:t xml:space="preserve">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747AF9E"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C2D564C"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1B97798F" w:rsidR="00B03288" w:rsidRDefault="00B03288" w:rsidP="006920D9">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3881582A" w14:textId="42BCA6DB" w:rsidR="00A34F1E" w:rsidRPr="00A34F1E" w:rsidRDefault="00A34F1E" w:rsidP="00A34F1E">
      <w:pPr>
        <w:pStyle w:val="PargrafodaLista"/>
        <w:numPr>
          <w:ilvl w:val="1"/>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As despesas decorrentes da aquisição dos objetos previstos no Termo de Referência correrão por conta do elemento de despesa e fonte de recurso abaixo descritos.</w:t>
      </w:r>
    </w:p>
    <w:p w14:paraId="552020D8" w14:textId="01FD15F3" w:rsidR="00A34F1E" w:rsidRPr="00A34F1E" w:rsidRDefault="00A34F1E" w:rsidP="00A34F1E">
      <w:pPr>
        <w:pStyle w:val="PargrafodaLista"/>
        <w:numPr>
          <w:ilvl w:val="2"/>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xml:space="preserve">- Elemento de Despesa – </w:t>
      </w:r>
      <w:r w:rsidRPr="00A34F1E">
        <w:rPr>
          <w:rFonts w:ascii="Azo Sans Lt" w:hAnsi="Azo Sans Lt" w:cstheme="minorHAnsi"/>
          <w:b/>
          <w:iCs/>
        </w:rPr>
        <w:t>44.90.52.02</w:t>
      </w:r>
      <w:r w:rsidRPr="00A34F1E">
        <w:rPr>
          <w:rFonts w:ascii="Azo Sans Lt" w:hAnsi="Azo Sans Lt" w:cstheme="minorHAnsi"/>
          <w:bCs/>
          <w:iCs/>
        </w:rPr>
        <w:t xml:space="preserve"> </w:t>
      </w:r>
    </w:p>
    <w:p w14:paraId="4C98D34A" w14:textId="6FA0E873" w:rsidR="00A34F1E" w:rsidRPr="00A34F1E" w:rsidRDefault="00A34F1E" w:rsidP="00A34F1E">
      <w:pPr>
        <w:pStyle w:val="PargrafodaLista"/>
        <w:numPr>
          <w:ilvl w:val="2"/>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xml:space="preserve">- Fonte de Recurso – </w:t>
      </w:r>
      <w:r w:rsidRPr="00A34F1E">
        <w:rPr>
          <w:rFonts w:ascii="Azo Sans Lt" w:hAnsi="Azo Sans Lt" w:cstheme="minorHAnsi"/>
          <w:b/>
          <w:iCs/>
        </w:rPr>
        <w:t xml:space="preserve">1659 </w:t>
      </w:r>
    </w:p>
    <w:p w14:paraId="1DEE890A" w14:textId="52158F0A" w:rsidR="00A34F1E" w:rsidRPr="00A34F1E" w:rsidRDefault="00A34F1E" w:rsidP="00A34F1E">
      <w:pPr>
        <w:pStyle w:val="PargrafodaLista"/>
        <w:numPr>
          <w:ilvl w:val="1"/>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Quanto aos Programas de Trabalho, serão utilizados de acordo com as especificações a      seguir:</w:t>
      </w:r>
    </w:p>
    <w:p w14:paraId="630BFF3A" w14:textId="79A5B470" w:rsidR="00A34F1E" w:rsidRPr="00A34F1E" w:rsidRDefault="00A34F1E" w:rsidP="00A34F1E">
      <w:pPr>
        <w:pStyle w:val="PargrafodaLista"/>
        <w:numPr>
          <w:ilvl w:val="2"/>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xml:space="preserve">- Hospital Municipal Raul Sertã: </w:t>
      </w:r>
      <w:r w:rsidRPr="00A34F1E">
        <w:rPr>
          <w:rFonts w:ascii="Azo Sans Lt" w:hAnsi="Azo Sans Lt" w:cstheme="minorHAnsi"/>
          <w:b/>
          <w:iCs/>
        </w:rPr>
        <w:t>30001.10.302.0085.2.202</w:t>
      </w:r>
    </w:p>
    <w:p w14:paraId="5E4B2F8E" w14:textId="45568A99" w:rsidR="00A34F1E" w:rsidRPr="00A34F1E" w:rsidRDefault="00A34F1E" w:rsidP="00A34F1E">
      <w:pPr>
        <w:pStyle w:val="PargrafodaLista"/>
        <w:numPr>
          <w:ilvl w:val="1"/>
          <w:numId w:val="27"/>
        </w:numPr>
        <w:spacing w:before="0" w:line="360" w:lineRule="auto"/>
        <w:ind w:left="0" w:firstLine="0"/>
        <w:jc w:val="both"/>
        <w:rPr>
          <w:rFonts w:ascii="Azo Sans Lt" w:hAnsi="Azo Sans Lt" w:cstheme="minorHAnsi"/>
          <w:bCs/>
          <w:iCs/>
        </w:rPr>
      </w:pPr>
      <w:r w:rsidRPr="00A34F1E">
        <w:rPr>
          <w:rFonts w:ascii="Azo Sans Lt" w:hAnsi="Azo Sans Lt" w:cstheme="minorHAnsi"/>
          <w:bCs/>
          <w:iCs/>
        </w:rPr>
        <w:t xml:space="preserve">- As notas fiscais deverão ser emitidas em nome do </w:t>
      </w:r>
      <w:r w:rsidRPr="00A34F1E">
        <w:rPr>
          <w:rFonts w:ascii="Azo Sans Lt" w:hAnsi="Azo Sans Lt" w:cstheme="minorHAnsi"/>
          <w:b/>
          <w:iCs/>
        </w:rPr>
        <w:t>FUNDO MUNICIPAL DE SÀUDE, CNPJ: 11.399.442/0001-79, AVENIDA ALBERTO BRAUNE, 224, SALA 221, CENTRO, NOVA FRIBURGO/RJ, CEP 28613-001</w:t>
      </w:r>
      <w:r w:rsidRPr="00A34F1E">
        <w:rPr>
          <w:rFonts w:ascii="Azo Sans Lt" w:hAnsi="Azo Sans Lt" w:cstheme="minorHAnsi"/>
          <w:bCs/>
          <w:iCs/>
        </w:rPr>
        <w:t>.</w:t>
      </w:r>
    </w:p>
    <w:p w14:paraId="244033D2" w14:textId="1F20175C" w:rsidR="00427EB7" w:rsidRDefault="001D32DF" w:rsidP="00A34F1E">
      <w:pPr>
        <w:pStyle w:val="Nivel01"/>
        <w:numPr>
          <w:ilvl w:val="0"/>
          <w:numId w:val="31"/>
        </w:numPr>
        <w:rPr>
          <w:rFonts w:ascii="Azo Sans Lt" w:hAnsi="Azo Sans Lt" w:cstheme="minorHAnsi"/>
          <w:sz w:val="22"/>
          <w:szCs w:val="22"/>
        </w:rPr>
      </w:pPr>
      <w:bookmarkStart w:id="0" w:name="_Hlk107932013"/>
      <w:r w:rsidRPr="0075018C">
        <w:rPr>
          <w:rFonts w:ascii="Azo Sans Lt" w:hAnsi="Azo Sans Lt" w:cstheme="minorHAnsi"/>
          <w:sz w:val="22"/>
          <w:szCs w:val="22"/>
        </w:rPr>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68F51911" w14:textId="4B8C0372" w:rsidR="00A34F1E" w:rsidRPr="00A34F1E" w:rsidRDefault="00A34F1E" w:rsidP="00A34F1E">
      <w:pPr>
        <w:pStyle w:val="PargrafodaLista"/>
        <w:numPr>
          <w:ilvl w:val="1"/>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xml:space="preserve">- O pagamento será efetuado conforme estabelece o Decreto n.º 2.493, de 07 de novembro de 2023, desde que as certidões listadas abaixo estejam dentro da validade: </w:t>
      </w:r>
    </w:p>
    <w:p w14:paraId="1DCF855B" w14:textId="1091CBE5"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Negativa de Débitos Trabalhistas;</w:t>
      </w:r>
    </w:p>
    <w:p w14:paraId="3D3BC847" w14:textId="3DDFB0E2"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Fazenda Federal – abrange as contribuições sociais;</w:t>
      </w:r>
    </w:p>
    <w:p w14:paraId="397F2BED" w14:textId="42917C40"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FGTS;</w:t>
      </w:r>
    </w:p>
    <w:p w14:paraId="5EC4FEA9" w14:textId="4FDFD168"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PGE- referente a Divida Ativa Estadual;</w:t>
      </w:r>
    </w:p>
    <w:p w14:paraId="466A71E3" w14:textId="6606E5CE"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Municipal – referente ao ISS e Divida Ativa</w:t>
      </w:r>
    </w:p>
    <w:p w14:paraId="7C9FD8CB" w14:textId="1E9DFE9C" w:rsidR="00A34F1E" w:rsidRPr="00A34F1E" w:rsidRDefault="00A34F1E" w:rsidP="00A34F1E">
      <w:pPr>
        <w:pStyle w:val="PargrafodaLista"/>
        <w:numPr>
          <w:ilvl w:val="2"/>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Estadual CND – referente ao ICMS</w:t>
      </w:r>
    </w:p>
    <w:p w14:paraId="1B4CE0F4" w14:textId="730BAB96" w:rsidR="00A34F1E" w:rsidRPr="00A34F1E" w:rsidRDefault="00A34F1E" w:rsidP="00A34F1E">
      <w:pPr>
        <w:pStyle w:val="PargrafodaLista"/>
        <w:numPr>
          <w:ilvl w:val="1"/>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t>- A Nota Fiscal de Serviço deverá conter a identificação do Banco, número da Agência e da Conta-Corrente, para que a Contratante possa efetuar o pagamento do valor devido.</w:t>
      </w:r>
    </w:p>
    <w:p w14:paraId="6F5EB832" w14:textId="20A0C2D3" w:rsidR="00A34F1E" w:rsidRPr="00A34F1E" w:rsidRDefault="00A34F1E" w:rsidP="00A34F1E">
      <w:pPr>
        <w:pStyle w:val="PargrafodaLista"/>
        <w:numPr>
          <w:ilvl w:val="1"/>
          <w:numId w:val="36"/>
        </w:numPr>
        <w:spacing w:before="0" w:line="360" w:lineRule="auto"/>
        <w:ind w:left="0" w:right="2" w:firstLine="0"/>
        <w:jc w:val="both"/>
        <w:rPr>
          <w:rFonts w:ascii="Azo Sans Lt" w:hAnsi="Azo Sans Lt" w:cstheme="minorHAnsi"/>
          <w:bCs/>
          <w:iCs/>
        </w:rPr>
      </w:pPr>
      <w:r w:rsidRPr="00A34F1E">
        <w:rPr>
          <w:rFonts w:ascii="Azo Sans Lt" w:hAnsi="Azo Sans Lt" w:cstheme="minorHAnsi"/>
          <w:bCs/>
          <w:iCs/>
        </w:rPr>
        <w:lastRenderedPageBreak/>
        <w:t>- Na ocorrência de rejeição da Nota Fiscal, motivada por erro ou incorreções, o prazo para pagamento estipulado acima passará a ser contado a partir da data de sua reapresentação.</w:t>
      </w:r>
    </w:p>
    <w:p w14:paraId="08D6E367" w14:textId="50126A4C" w:rsidR="001D32DF" w:rsidRDefault="00641674" w:rsidP="00656265">
      <w:pPr>
        <w:pStyle w:val="Nivel01"/>
        <w:numPr>
          <w:ilvl w:val="0"/>
          <w:numId w:val="36"/>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F9E152" w:rsidR="005466C3" w:rsidRPr="00814BB1" w:rsidRDefault="00F2457B" w:rsidP="00656265">
      <w:pPr>
        <w:pStyle w:val="PargrafodaLista"/>
        <w:widowControl/>
        <w:numPr>
          <w:ilvl w:val="1"/>
          <w:numId w:val="36"/>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674AE751" w:rsidR="00641674" w:rsidRPr="00641674" w:rsidRDefault="00641674" w:rsidP="00656265">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44218451" w:rsidR="001D32DF" w:rsidRDefault="001D32DF" w:rsidP="00656265">
      <w:pPr>
        <w:pStyle w:val="PargrafodaLista"/>
        <w:widowControl/>
        <w:numPr>
          <w:ilvl w:val="1"/>
          <w:numId w:val="36"/>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54DDFF0D" w14:textId="77777777" w:rsidR="00E46D0E" w:rsidRPr="0028504B" w:rsidRDefault="00E46D0E" w:rsidP="00E46D0E">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79699FB9" w:rsidR="00385663" w:rsidRDefault="00385663" w:rsidP="00656265">
      <w:pPr>
        <w:pStyle w:val="Nivel01"/>
        <w:numPr>
          <w:ilvl w:val="0"/>
          <w:numId w:val="36"/>
        </w:numPr>
        <w:tabs>
          <w:tab w:val="clear" w:pos="567"/>
        </w:tabs>
        <w:spacing w:before="0" w:line="360" w:lineRule="auto"/>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E46D0E">
        <w:rPr>
          <w:rFonts w:ascii="Azo Sans Lt" w:hAnsi="Azo Sans Lt" w:cstheme="minorHAnsi"/>
          <w:sz w:val="22"/>
          <w:szCs w:val="22"/>
        </w:rPr>
        <w:t>–</w:t>
      </w:r>
      <w:r w:rsidR="001D32DF" w:rsidRPr="00385663">
        <w:rPr>
          <w:rFonts w:ascii="Azo Sans Lt" w:hAnsi="Azo Sans Lt" w:cstheme="minorHAnsi"/>
          <w:sz w:val="22"/>
          <w:szCs w:val="22"/>
        </w:rPr>
        <w:t xml:space="preserve"> </w:t>
      </w:r>
      <w:r w:rsidR="00E46D0E">
        <w:rPr>
          <w:rFonts w:ascii="Azo Sans Lt" w:hAnsi="Azo Sans Lt" w:cstheme="minorHAnsi"/>
          <w:sz w:val="22"/>
          <w:szCs w:val="22"/>
        </w:rPr>
        <w:t xml:space="preserve">DO </w:t>
      </w:r>
      <w:r w:rsidR="00656265">
        <w:rPr>
          <w:rFonts w:ascii="Azo Sans Lt" w:hAnsi="Azo Sans Lt" w:cstheme="minorHAnsi"/>
          <w:sz w:val="22"/>
          <w:szCs w:val="22"/>
        </w:rPr>
        <w:t>FORNECIMENTO (FORMA, PRAZO, QUANTIDADE E LOCAL DE ENTREGA)</w:t>
      </w:r>
    </w:p>
    <w:p w14:paraId="243657AB" w14:textId="2101D8C7"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O item deverá ser entregue em parcela única, com prazo não superior a 30 dias, contados a partir do recebimento da Nota de Empenho.</w:t>
      </w:r>
    </w:p>
    <w:p w14:paraId="53CE0599" w14:textId="00549DE8"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A entrega deverá ser realizada no almoxarifado do Hospital Municipal Raul Sertã, localizado na Rua General Osório, nº. 324, Centro, Nova Friburgo/RJ, de segunda a sexta-feira, no horário de 09:00 às 16:00.</w:t>
      </w:r>
    </w:p>
    <w:p w14:paraId="6BED0C8B" w14:textId="0448825D"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xml:space="preserve">- O equipamento constante no subitem 2.1 </w:t>
      </w:r>
      <w:r w:rsidR="00555D31">
        <w:rPr>
          <w:rFonts w:ascii="Azo Sans Lt" w:hAnsi="Azo Sans Lt" w:cstheme="minorHAnsi"/>
          <w:bCs/>
          <w:iCs/>
        </w:rPr>
        <w:t>do</w:t>
      </w:r>
      <w:r w:rsidRPr="00656265">
        <w:rPr>
          <w:rFonts w:ascii="Azo Sans Lt" w:hAnsi="Azo Sans Lt" w:cstheme="minorHAnsi"/>
          <w:bCs/>
          <w:iCs/>
        </w:rPr>
        <w:t xml:space="preserve"> Termo de Referência deverá ser entregue sem violação da embalagem, sem deterioração ou qualquer outro fator que possa comprometer seu uso ou qualidade.</w:t>
      </w:r>
    </w:p>
    <w:p w14:paraId="6B43D46F" w14:textId="2B7D1BE3"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xml:space="preserve">- Caso o item apresente embalagem violada ou qualquer tipo de comprometimento para seu uso, bem como marca trocada (em desacordo com a proposta apresentada pela licitante), caberá à Contratada efetuar a troca, no prazo máximo de 5 dias úteis, se responsabilizando, ademais, por todas as despesas que porventura venham a ocorrer. </w:t>
      </w:r>
    </w:p>
    <w:p w14:paraId="24399AD7" w14:textId="2940E725"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Outrossim, deverá constar no equipamento os dados de identificação e procedência, fabricação, validade, número de lote e número do Registro na Agência Nacional de Vigilância Sanitária (Anvisa), se aplicável;</w:t>
      </w:r>
    </w:p>
    <w:p w14:paraId="50F5EEF7" w14:textId="78649EDE"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No caso de aplicabilidade, não será aceito equipamento cujo registro no Ministério da Saúde/Anvisa, estejam vencidos, inválidos, pendentes de renovação ou cancelados.</w:t>
      </w:r>
    </w:p>
    <w:p w14:paraId="05DD50CD" w14:textId="68E12950"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Caso o equipamento cotado seja dispensado do registro na Anvisa, a licitante deverá apresentar cópia do ato de isenção.</w:t>
      </w:r>
    </w:p>
    <w:p w14:paraId="16717E80" w14:textId="6B202C57" w:rsidR="00656265" w:rsidRPr="00656265" w:rsidRDefault="00656265" w:rsidP="00656265">
      <w:pPr>
        <w:pStyle w:val="PargrafodaLista"/>
        <w:numPr>
          <w:ilvl w:val="1"/>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lastRenderedPageBreak/>
        <w:t>- No momento da entrega, o item deverá ser acompanhados dos seguintes documentos (quando aplicável):</w:t>
      </w:r>
    </w:p>
    <w:p w14:paraId="1B0EA68E" w14:textId="3F68EC88" w:rsidR="00656265" w:rsidRP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Manual de operação;</w:t>
      </w:r>
    </w:p>
    <w:p w14:paraId="1C1855F4" w14:textId="710D1C53" w:rsidR="00656265" w:rsidRP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Manual de serviços;</w:t>
      </w:r>
    </w:p>
    <w:p w14:paraId="6CA6263D" w14:textId="1FA402AE" w:rsidR="00656265" w:rsidRP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Esquemas eletrônicos;</w:t>
      </w:r>
    </w:p>
    <w:p w14:paraId="3D15DFA2" w14:textId="146DA647" w:rsidR="00656265" w:rsidRP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Procedimentos de calibração;</w:t>
      </w:r>
    </w:p>
    <w:p w14:paraId="0B310BDE" w14:textId="1639D5BF" w:rsidR="00656265" w:rsidRP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Procedimentos de manutenção preventiva;</w:t>
      </w:r>
    </w:p>
    <w:p w14:paraId="73A0F818" w14:textId="4D290A59" w:rsidR="00656265" w:rsidRDefault="00656265" w:rsidP="00656265">
      <w:pPr>
        <w:pStyle w:val="PargrafodaLista"/>
        <w:numPr>
          <w:ilvl w:val="2"/>
          <w:numId w:val="36"/>
        </w:numPr>
        <w:spacing w:before="0" w:line="360" w:lineRule="auto"/>
        <w:ind w:left="0" w:firstLine="0"/>
        <w:jc w:val="both"/>
        <w:rPr>
          <w:rFonts w:ascii="Azo Sans Lt" w:hAnsi="Azo Sans Lt" w:cstheme="minorHAnsi"/>
          <w:bCs/>
          <w:iCs/>
        </w:rPr>
      </w:pPr>
      <w:r w:rsidRPr="00656265">
        <w:rPr>
          <w:rFonts w:ascii="Azo Sans Lt" w:hAnsi="Azo Sans Lt" w:cstheme="minorHAnsi"/>
          <w:bCs/>
          <w:iCs/>
        </w:rPr>
        <w:t>- Certificado de garantia</w:t>
      </w:r>
      <w:r w:rsidR="000D2604">
        <w:rPr>
          <w:rFonts w:ascii="Azo Sans Lt" w:hAnsi="Azo Sans Lt" w:cstheme="minorHAnsi"/>
          <w:bCs/>
          <w:iCs/>
        </w:rPr>
        <w:t>.</w:t>
      </w:r>
    </w:p>
    <w:p w14:paraId="78900FA6" w14:textId="77777777" w:rsidR="000D2604" w:rsidRPr="00656265" w:rsidRDefault="000D2604" w:rsidP="000D2604">
      <w:pPr>
        <w:pStyle w:val="PargrafodaLista"/>
        <w:spacing w:before="0" w:line="360" w:lineRule="auto"/>
        <w:ind w:left="0"/>
        <w:jc w:val="both"/>
        <w:rPr>
          <w:rFonts w:ascii="Azo Sans Lt" w:hAnsi="Azo Sans Lt" w:cstheme="minorHAnsi"/>
          <w:bCs/>
          <w:iCs/>
        </w:rPr>
      </w:pPr>
    </w:p>
    <w:p w14:paraId="51653C8A" w14:textId="35BA57BE" w:rsidR="00A14FF7" w:rsidRDefault="0061177C" w:rsidP="000D2604">
      <w:pPr>
        <w:pStyle w:val="Nivel01"/>
        <w:numPr>
          <w:ilvl w:val="0"/>
          <w:numId w:val="33"/>
        </w:numPr>
        <w:spacing w:before="0" w:line="360" w:lineRule="auto"/>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C4B11EA" w14:textId="7C4E5F0C" w:rsidR="00656265" w:rsidRPr="00656265" w:rsidRDefault="00656265" w:rsidP="000D2604">
      <w:pPr>
        <w:pStyle w:val="PargrafodaLista"/>
        <w:numPr>
          <w:ilvl w:val="1"/>
          <w:numId w:val="33"/>
        </w:numPr>
        <w:spacing w:before="0" w:line="360" w:lineRule="auto"/>
        <w:ind w:left="0" w:firstLine="0"/>
        <w:jc w:val="both"/>
        <w:rPr>
          <w:rFonts w:ascii="Azo Sans Lt" w:hAnsi="Azo Sans Lt" w:cstheme="minorHAnsi"/>
          <w:lang w:val="pt-BR"/>
        </w:rPr>
      </w:pPr>
      <w:r w:rsidRPr="00656265">
        <w:rPr>
          <w:rFonts w:ascii="Azo Sans Lt" w:hAnsi="Azo Sans Lt" w:cstheme="minorHAnsi"/>
          <w:lang w:val="pt-BR"/>
        </w:rPr>
        <w:t xml:space="preserve">- O acompanhamento e a fiscalização da aquisição serão exercidos por representantes da Contratante, aos quais competirão dirimir as dúvidas que surgirem no curso da execução da compra, e de tudo dar ciência à Administração, na forma dos artigos 67 e 73 da Lei nº 8.666/93;  </w:t>
      </w:r>
    </w:p>
    <w:p w14:paraId="56FB160C" w14:textId="38C2E199" w:rsidR="00656265" w:rsidRPr="00656265" w:rsidRDefault="00656265" w:rsidP="00656265">
      <w:pPr>
        <w:pStyle w:val="PargrafodaLista"/>
        <w:numPr>
          <w:ilvl w:val="1"/>
          <w:numId w:val="33"/>
        </w:numPr>
        <w:spacing w:before="0" w:line="360" w:lineRule="auto"/>
        <w:ind w:left="0" w:firstLine="0"/>
        <w:jc w:val="both"/>
        <w:rPr>
          <w:rFonts w:ascii="Azo Sans Lt" w:hAnsi="Azo Sans Lt" w:cstheme="minorHAnsi"/>
          <w:lang w:val="pt-BR"/>
        </w:rPr>
      </w:pPr>
      <w:r w:rsidRPr="00656265">
        <w:rPr>
          <w:rFonts w:ascii="Azo Sans Lt" w:hAnsi="Azo Sans Lt" w:cstheme="minorHAnsi"/>
          <w:lang w:val="pt-BR"/>
        </w:rPr>
        <w:t>- Para acompanhamento e fiscalização da execução do presente contrato, ficam designados os agentes públicos abaixo informados:</w:t>
      </w:r>
    </w:p>
    <w:p w14:paraId="7989B49B" w14:textId="77777777" w:rsidR="00656265" w:rsidRPr="00656265" w:rsidRDefault="00656265" w:rsidP="00656265">
      <w:pPr>
        <w:pStyle w:val="PargrafodaLista"/>
        <w:spacing w:before="0" w:line="360" w:lineRule="auto"/>
        <w:ind w:left="0"/>
        <w:jc w:val="center"/>
        <w:rPr>
          <w:rFonts w:ascii="Azo Sans Lt" w:hAnsi="Azo Sans Lt" w:cstheme="minorHAnsi"/>
          <w:b/>
          <w:bCs/>
          <w:lang w:val="pt-BR"/>
        </w:rPr>
      </w:pPr>
      <w:proofErr w:type="spellStart"/>
      <w:r w:rsidRPr="00656265">
        <w:rPr>
          <w:rFonts w:ascii="Azo Sans Lt" w:hAnsi="Azo Sans Lt" w:cstheme="minorHAnsi"/>
          <w:b/>
          <w:bCs/>
          <w:lang w:val="pt-BR"/>
        </w:rPr>
        <w:t>Jadder</w:t>
      </w:r>
      <w:proofErr w:type="spellEnd"/>
      <w:r w:rsidRPr="00656265">
        <w:rPr>
          <w:rFonts w:ascii="Azo Sans Lt" w:hAnsi="Azo Sans Lt" w:cstheme="minorHAnsi"/>
          <w:b/>
          <w:bCs/>
          <w:lang w:val="pt-BR"/>
        </w:rPr>
        <w:t xml:space="preserve"> Costa Queiroz  – Matrícula 111.043 – Fiscal </w:t>
      </w:r>
      <w:proofErr w:type="spellStart"/>
      <w:r w:rsidRPr="00656265">
        <w:rPr>
          <w:rFonts w:ascii="Azo Sans Lt" w:hAnsi="Azo Sans Lt" w:cstheme="minorHAnsi"/>
          <w:b/>
          <w:bCs/>
          <w:lang w:val="pt-BR"/>
        </w:rPr>
        <w:t>Títular</w:t>
      </w:r>
      <w:proofErr w:type="spellEnd"/>
    </w:p>
    <w:p w14:paraId="32E28DE1" w14:textId="555A8B7F" w:rsidR="00656265" w:rsidRPr="00656265" w:rsidRDefault="00656265" w:rsidP="00656265">
      <w:pPr>
        <w:pStyle w:val="PargrafodaLista"/>
        <w:spacing w:before="0" w:line="360" w:lineRule="auto"/>
        <w:ind w:left="0"/>
        <w:jc w:val="center"/>
        <w:rPr>
          <w:rFonts w:ascii="Azo Sans Lt" w:hAnsi="Azo Sans Lt" w:cstheme="minorHAnsi"/>
          <w:b/>
          <w:bCs/>
          <w:lang w:val="pt-BR"/>
        </w:rPr>
      </w:pPr>
      <w:r w:rsidRPr="00656265">
        <w:rPr>
          <w:rFonts w:ascii="Azo Sans Lt" w:hAnsi="Azo Sans Lt" w:cstheme="minorHAnsi"/>
          <w:b/>
          <w:bCs/>
          <w:lang w:val="pt-BR"/>
        </w:rPr>
        <w:t>Alexsandro Almeida Amaral – Matrícula 111.062 – Fiscal Substituto</w:t>
      </w:r>
    </w:p>
    <w:p w14:paraId="3869B60C" w14:textId="347F6950" w:rsidR="00656265" w:rsidRPr="00656265" w:rsidRDefault="00656265" w:rsidP="00656265">
      <w:pPr>
        <w:pStyle w:val="PargrafodaLista"/>
        <w:numPr>
          <w:ilvl w:val="1"/>
          <w:numId w:val="33"/>
        </w:numPr>
        <w:spacing w:before="0" w:line="360" w:lineRule="auto"/>
        <w:ind w:left="0" w:firstLine="0"/>
        <w:jc w:val="both"/>
        <w:rPr>
          <w:rFonts w:ascii="Azo Sans Lt" w:hAnsi="Azo Sans Lt" w:cstheme="minorHAnsi"/>
          <w:lang w:val="pt-BR"/>
        </w:rPr>
      </w:pPr>
      <w:r w:rsidRPr="00656265">
        <w:rPr>
          <w:rFonts w:ascii="Azo Sans Lt" w:hAnsi="Azo Sans Lt" w:cstheme="minorHAnsi"/>
          <w:lang w:val="pt-BR"/>
        </w:rPr>
        <w:t>- 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4A79C4DF" w14:textId="4F06E630" w:rsidR="00656265" w:rsidRPr="00656265" w:rsidRDefault="00656265" w:rsidP="00656265">
      <w:pPr>
        <w:pStyle w:val="PargrafodaLista"/>
        <w:numPr>
          <w:ilvl w:val="1"/>
          <w:numId w:val="33"/>
        </w:numPr>
        <w:spacing w:before="0" w:line="360" w:lineRule="auto"/>
        <w:ind w:left="0" w:firstLine="0"/>
        <w:jc w:val="both"/>
        <w:rPr>
          <w:rFonts w:ascii="Azo Sans Lt" w:hAnsi="Azo Sans Lt" w:cstheme="minorHAnsi"/>
          <w:lang w:val="pt-BR"/>
        </w:rPr>
      </w:pPr>
      <w:r w:rsidRPr="00656265">
        <w:rPr>
          <w:rFonts w:ascii="Azo Sans Lt" w:hAnsi="Azo Sans Lt" w:cstheme="minorHAnsi"/>
          <w:lang w:val="pt-BR"/>
        </w:rPr>
        <w:t>- O fiscal designado pela Contratante deverá ter a experiência necessária para o acompanhamento e controle da execução dos serviços e do contrato.</w:t>
      </w:r>
    </w:p>
    <w:p w14:paraId="3C828909" w14:textId="3C21DA10" w:rsidR="00656265" w:rsidRPr="00656265" w:rsidRDefault="00656265" w:rsidP="00656265">
      <w:pPr>
        <w:pStyle w:val="PargrafodaLista"/>
        <w:numPr>
          <w:ilvl w:val="1"/>
          <w:numId w:val="33"/>
        </w:numPr>
        <w:spacing w:before="0" w:line="360" w:lineRule="auto"/>
        <w:ind w:left="0" w:firstLine="0"/>
        <w:jc w:val="both"/>
        <w:rPr>
          <w:rFonts w:ascii="Azo Sans Lt" w:hAnsi="Azo Sans Lt" w:cstheme="minorHAnsi"/>
          <w:lang w:val="pt-BR"/>
        </w:rPr>
      </w:pPr>
      <w:r w:rsidRPr="00656265">
        <w:rPr>
          <w:rFonts w:ascii="Azo Sans Lt" w:hAnsi="Azo Sans Lt" w:cstheme="minorHAnsi"/>
          <w:lang w:val="pt-BR"/>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5163AA22" w14:textId="44B06913" w:rsidR="00E46D0E" w:rsidRDefault="00E46D0E" w:rsidP="00656265">
      <w:pPr>
        <w:pStyle w:val="PargrafodaLista"/>
        <w:spacing w:line="276" w:lineRule="auto"/>
        <w:ind w:left="0"/>
        <w:jc w:val="both"/>
        <w:rPr>
          <w:rFonts w:ascii="Azo Sans Lt" w:hAnsi="Azo Sans Lt" w:cstheme="minorHAnsi"/>
          <w:bCs/>
          <w:iCs/>
        </w:rPr>
      </w:pPr>
    </w:p>
    <w:p w14:paraId="1ECB67B5" w14:textId="7167E13D" w:rsidR="00055A35" w:rsidRDefault="00055A35" w:rsidP="000D2604">
      <w:pPr>
        <w:pStyle w:val="Nivel01"/>
        <w:numPr>
          <w:ilvl w:val="0"/>
          <w:numId w:val="33"/>
        </w:numPr>
        <w:tabs>
          <w:tab w:val="clear" w:pos="567"/>
          <w:tab w:val="left" w:pos="993"/>
        </w:tabs>
        <w:spacing w:before="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2A62B0DD" w14:textId="671509D2"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10.1 - Caberá à Contratante:</w:t>
      </w:r>
    </w:p>
    <w:p w14:paraId="6133877E" w14:textId="77777777"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10.1.1- Exigir o cumprimento de todas as obrigações assumidas pela Contratada, de acordo com as cláusulas contratuais e os termos de sua proposta;</w:t>
      </w:r>
    </w:p>
    <w:p w14:paraId="3C8AE919" w14:textId="77777777"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10.1.2 - Receber provisoriamente o material, disponibilizado local, data e horário;</w:t>
      </w:r>
    </w:p>
    <w:p w14:paraId="5DDB2154" w14:textId="5FD3FB90"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10.1.3 - Verificar minuciosamente, no prazo fixado, a conformidade dos bens recebidos Provisoriamente com as especificações constantes do Termo de Referência e da proposta, para fins de aceitação e recebimento definitivo;</w:t>
      </w:r>
    </w:p>
    <w:p w14:paraId="3A9A8735" w14:textId="54D6533F"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10.1.4 - Acompanhar e fiscalizar o cumprimento das obrigações da Contratada, através de servidor especialmente designado;</w:t>
      </w:r>
    </w:p>
    <w:p w14:paraId="5541C11D" w14:textId="122673A7"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10.1.5 - Efetuar o pagamento no prazo previsto;</w:t>
      </w:r>
    </w:p>
    <w:p w14:paraId="569A4C9A" w14:textId="2758D7F8" w:rsidR="000D2604"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10.1.6 - Efetuar as retenções tributárias devidas sobre o valor da Nota Fiscal/Fatura fornecida pela contratada.</w:t>
      </w:r>
    </w:p>
    <w:p w14:paraId="41BD2B3C" w14:textId="3671CD60" w:rsidR="00E84691" w:rsidRPr="000D2604" w:rsidRDefault="000D2604" w:rsidP="000D2604">
      <w:pPr>
        <w:spacing w:line="360" w:lineRule="auto"/>
        <w:jc w:val="both"/>
        <w:rPr>
          <w:rFonts w:ascii="Azo Sans Lt" w:hAnsi="Azo Sans Lt" w:cstheme="minorHAnsi"/>
          <w:lang w:val="pt-BR"/>
        </w:rPr>
      </w:pPr>
      <w:r w:rsidRPr="000D2604">
        <w:rPr>
          <w:rFonts w:ascii="Azo Sans Lt" w:hAnsi="Azo Sans Lt" w:cstheme="minorHAnsi"/>
          <w:lang w:val="pt-BR"/>
        </w:rPr>
        <w:t>10.2 -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B3A7EF8" w14:textId="312153CA" w:rsidR="00E40A97" w:rsidRPr="00A87002" w:rsidRDefault="00E40A97" w:rsidP="00DF4390">
      <w:pPr>
        <w:widowControl/>
        <w:numPr>
          <w:ilvl w:val="1"/>
          <w:numId w:val="33"/>
        </w:numPr>
        <w:autoSpaceDE/>
        <w:autoSpaceDN/>
        <w:spacing w:before="120" w:after="120" w:line="276" w:lineRule="auto"/>
        <w:ind w:left="426" w:hanging="426"/>
        <w:jc w:val="both"/>
        <w:rPr>
          <w:rFonts w:ascii="Azo Sans Lt" w:hAnsi="Azo Sans Lt" w:cstheme="minorHAnsi"/>
          <w:b/>
          <w:bCs/>
        </w:rPr>
      </w:pPr>
      <w:r w:rsidRPr="00A87002">
        <w:rPr>
          <w:rFonts w:ascii="Azo Sans Lt" w:hAnsi="Azo Sans Lt" w:cstheme="minorHAnsi"/>
          <w:b/>
          <w:bCs/>
        </w:rPr>
        <w:t>Das obrigações da Contratada:</w:t>
      </w:r>
    </w:p>
    <w:p w14:paraId="791C0105" w14:textId="163EA51E"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Ter capacidade de atendimento da demanda com eficiência, presteza e zelo;</w:t>
      </w:r>
    </w:p>
    <w:p w14:paraId="42602410" w14:textId="6463C6CD"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Efetuar o transporte, a entrega, a descarga e instalação do bem em perfeitas condições e de acordo com a NBR 12188:2016,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fiscal citadas nos subitens 12.1.1 a 12.1.6 do Termo de Referência;</w:t>
      </w:r>
    </w:p>
    <w:p w14:paraId="7D544E67" w14:textId="41EF7421"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Será ainda responsável por vícios ou defeitos de fabricação, bem como desgastes anormais do equipamento, suas partes e acessórios obrigando-se ressarcir os danos e substituir os elementos defeituosos, sem ônus a Contratante, dentro do prazo de 12 meses no mínimo.</w:t>
      </w:r>
    </w:p>
    <w:p w14:paraId="2650C865" w14:textId="20F77882"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xml:space="preserve">- Responsabilizar-se pelos vícios e danos decorrentes do produto, de acordo com os artigos  12,13,18 e 26, do Código de Defesa do Consumidor (Lei nº.8.078, de 1990); </w:t>
      </w:r>
    </w:p>
    <w:p w14:paraId="042491A7" w14:textId="32C1EA89"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lastRenderedPageBreak/>
        <w:t>- O dever previsto no subitem anterior implica na obrigação de, a critério da Contratante, substituir, reparar, corrigir remover, ou reconstruir, as suas expensas, no prazo máximo de 05 dias, o produto com avarias, defeitos ou em desacordo com o Termo de Referência;</w:t>
      </w:r>
    </w:p>
    <w:p w14:paraId="09F467AC" w14:textId="71B972FE"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Atender prontamente a quaisquer exigências da Contratante, inerentes ao objeto da presente contratação;</w:t>
      </w:r>
    </w:p>
    <w:p w14:paraId="36DA23BF" w14:textId="77777777"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Não transferir a terceiros, por qualquer forma, nem mesmo parcialmente, as obrigações assumidas, nem subcontratar qualquer das prestações a que está obrigada, exceto nas condições autorizadas no Termo de Referência ou na minuta do contrato.</w:t>
      </w:r>
    </w:p>
    <w:p w14:paraId="7CF86697" w14:textId="62005646"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xml:space="preserve"> - Responsabilizar-se, pelas despesas dos tributos, encargos trabalhistas, previdenciários, fiscais, comerciais, taxas, fretes, seguros, deslocamento de pessoal, prestação de garantia e quaisquer outras que  incidam ou venham a incidir na execução do contrato. </w:t>
      </w:r>
    </w:p>
    <w:p w14:paraId="215FE537" w14:textId="77777777"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xml:space="preserve"> - Comunicar à Contratante, no prazo mínimo de 07 (sete) dias de antecedência, os motivos que eventualmente impossibilitem o cumprimento do prazo previsto, com a devida comprovação, sob prévia autorização da contratante em relação a razoabilidade do prazo solicitado.</w:t>
      </w:r>
    </w:p>
    <w:p w14:paraId="7D196F40" w14:textId="77777777"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Manter, durante toda a execução do contrato, em compatibilidade com as obrigações assumidas, todas as condições de habilitação e qualificação exigidas na licitação;</w:t>
      </w:r>
    </w:p>
    <w:p w14:paraId="0D7859C7" w14:textId="1EA80A4E" w:rsidR="000D2604" w:rsidRPr="000D2604" w:rsidRDefault="000D2604" w:rsidP="000D2604">
      <w:pPr>
        <w:pStyle w:val="PargrafodaLista"/>
        <w:numPr>
          <w:ilvl w:val="2"/>
          <w:numId w:val="33"/>
        </w:numPr>
        <w:spacing w:before="0" w:line="360" w:lineRule="auto"/>
        <w:ind w:left="0" w:firstLine="0"/>
        <w:jc w:val="both"/>
        <w:rPr>
          <w:rFonts w:ascii="Azo Sans Lt" w:hAnsi="Azo Sans Lt" w:cstheme="minorHAnsi"/>
          <w:bCs/>
          <w:iCs/>
          <w:lang w:val="pt-BR"/>
        </w:rPr>
      </w:pPr>
      <w:r w:rsidRPr="000D2604">
        <w:rPr>
          <w:rFonts w:ascii="Azo Sans Lt" w:hAnsi="Azo Sans Lt" w:cstheme="minorHAnsi"/>
          <w:bCs/>
          <w:iCs/>
          <w:lang w:val="pt-BR"/>
        </w:rPr>
        <w:t>- 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3AE8128F" w14:textId="265EAFF3" w:rsidR="00E84691" w:rsidRDefault="00E84691" w:rsidP="000D2604">
      <w:pPr>
        <w:spacing w:line="276" w:lineRule="auto"/>
        <w:jc w:val="both"/>
      </w:pPr>
    </w:p>
    <w:p w14:paraId="742EA88C" w14:textId="388E7A0C" w:rsidR="00A229E2" w:rsidRPr="00A229E2" w:rsidRDefault="005F5E8D"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09B9624A" w:rsidR="00AD022C" w:rsidRPr="002F2CC8" w:rsidRDefault="009B6156"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009257F4" w:rsidRPr="009257F4">
        <w:rPr>
          <w:rFonts w:ascii="Azo Sans Lt" w:hAnsi="Azo Sans Lt" w:cstheme="minorHAnsi"/>
          <w:bCs/>
          <w:iCs/>
          <w:lang w:val="pt-BR"/>
        </w:rPr>
        <w:t>Comete infração administrativa nos termos da Lei nº 8.666/93 e da Lei nº 10.520/02</w:t>
      </w:r>
      <w:r>
        <w:rPr>
          <w:rFonts w:ascii="Azo Sans Lt" w:hAnsi="Azo Sans Lt" w:cstheme="minorHAnsi"/>
          <w:bCs/>
          <w:iCs/>
          <w:lang w:val="pt-BR"/>
        </w:rPr>
        <w:t xml:space="preserve">, </w:t>
      </w:r>
      <w:r w:rsidR="009257F4" w:rsidRPr="009257F4">
        <w:rPr>
          <w:rFonts w:ascii="Azo Sans Lt" w:hAnsi="Azo Sans Lt" w:cstheme="minorHAnsi"/>
          <w:bCs/>
          <w:iCs/>
          <w:lang w:val="pt-BR"/>
        </w:rPr>
        <w:t>a contratada que:</w:t>
      </w:r>
    </w:p>
    <w:p w14:paraId="48258AE4" w14:textId="77777777" w:rsidR="00E27B1B" w:rsidRPr="00E27B1B" w:rsidRDefault="00AD022C"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lastRenderedPageBreak/>
        <w:t>Deixar de entregar os documentos exigidos no certame;</w:t>
      </w:r>
    </w:p>
    <w:p w14:paraId="37642BA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183893E2" w:rsidR="009257F4" w:rsidRPr="009257F4" w:rsidRDefault="009257F4"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w:t>
      </w:r>
      <w:r w:rsidR="009B6156">
        <w:rPr>
          <w:rFonts w:ascii="Azo Sans Lt" w:hAnsi="Azo Sans Lt" w:cstheme="minorHAnsi"/>
          <w:bCs/>
          <w:iCs/>
          <w:lang w:val="pt-BR"/>
        </w:rPr>
        <w:t>E</w:t>
      </w:r>
      <w:r w:rsidRPr="009257F4">
        <w:rPr>
          <w:rFonts w:ascii="Azo Sans Lt" w:hAnsi="Azo Sans Lt" w:cstheme="minorHAnsi"/>
          <w:bCs/>
          <w:iCs/>
          <w:lang w:val="pt-BR"/>
        </w:rPr>
        <w:t>/EPP, ou conluio, entre os licitantes, em qualquer momento da licitação, mesmo após o encerramento da fase de lances;</w:t>
      </w:r>
    </w:p>
    <w:p w14:paraId="526FAF15" w14:textId="36FC98B9" w:rsidR="009257F4" w:rsidRPr="009257F4" w:rsidRDefault="009257F4" w:rsidP="00F2457B">
      <w:pPr>
        <w:pStyle w:val="PargrafodaLista"/>
        <w:numPr>
          <w:ilvl w:val="1"/>
          <w:numId w:val="33"/>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55AF1DAA" w14:textId="40EB7D0E"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4CF051F" w14:textId="303F129C"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compensatória no percentual de até 5% (cinco por cento) do valor da fatura correspondente ao mês em que foi constatada a falta; (quando for o caso)</w:t>
      </w:r>
    </w:p>
    <w:p w14:paraId="0F1AA2CC" w14:textId="001F5580"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497A10B7" w14:textId="0E1B74F7"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335D4719" w14:textId="0EA70DA6"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Suspensão temporária de participação em licitação e impedimento de contratar com a Administração, por prazo não superior a 2 (dois) anos;</w:t>
      </w:r>
    </w:p>
    <w:p w14:paraId="0FE837FF" w14:textId="1A9034C4"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5A9F3A3" w14:textId="6A9E57FD"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4353D669" w14:textId="77777777" w:rsidR="00805F63" w:rsidRPr="008E5552" w:rsidRDefault="00805F63" w:rsidP="00805F63">
      <w:pPr>
        <w:widowControl/>
        <w:numPr>
          <w:ilvl w:val="2"/>
          <w:numId w:val="33"/>
        </w:numPr>
        <w:tabs>
          <w:tab w:val="left" w:pos="851"/>
        </w:tabs>
        <w:autoSpaceDE/>
        <w:autoSpaceDN/>
        <w:spacing w:before="120" w:after="120"/>
        <w:ind w:left="0" w:firstLine="0"/>
        <w:jc w:val="both"/>
        <w:rPr>
          <w:rFonts w:ascii="Azo Sans Lt" w:hAnsi="Azo Sans Lt" w:cstheme="minorHAnsi"/>
          <w:lang w:val="pt-BR"/>
        </w:rPr>
      </w:pPr>
      <w:bookmarkStart w:id="1" w:name="_Hlk110433298"/>
      <w:r w:rsidRPr="007F6F25">
        <w:rPr>
          <w:rFonts w:ascii="Azo Sans Lt" w:hAnsi="Azo Sans Lt" w:cstheme="minorHAnsi"/>
          <w:lang w:val="pt-BR"/>
        </w:rPr>
        <w:t xml:space="preserve">As sanções de </w:t>
      </w:r>
      <w:r>
        <w:rPr>
          <w:rFonts w:ascii="Azo Sans Lt" w:hAnsi="Azo Sans Lt" w:cstheme="minorHAnsi"/>
          <w:lang w:val="pt-BR"/>
        </w:rPr>
        <w:t xml:space="preserve">advertência, </w:t>
      </w:r>
      <w:r w:rsidRPr="007F6F25">
        <w:rPr>
          <w:rFonts w:ascii="Azo Sans Lt" w:hAnsi="Azo Sans Lt" w:cstheme="minorHAnsi"/>
          <w:lang w:val="pt-BR"/>
        </w:rPr>
        <w:t xml:space="preserve">suspensão temporária de participação em licitação e impedimento de contratar com a Administração e declaração de inidoneidade para licitar ou contratar com a Administração Pública poderão ser aplicadas juntamente com a sanção </w:t>
      </w:r>
      <w:r w:rsidRPr="007F6F25">
        <w:rPr>
          <w:rFonts w:ascii="Azo Sans Lt" w:hAnsi="Azo Sans Lt" w:cstheme="minorHAnsi"/>
          <w:lang w:val="pt-BR"/>
        </w:rPr>
        <w:lastRenderedPageBreak/>
        <w:t>de multa, facultada a defesa prévia de interessado, no respectivo processo, no prazo de 5 (cinco) dias úteis;</w:t>
      </w:r>
      <w:bookmarkEnd w:id="1"/>
    </w:p>
    <w:p w14:paraId="1FE12118" w14:textId="160F915C" w:rsidR="002F2CC8"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8EA0ABE"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2174285E" w14:textId="77777777" w:rsidR="00837319" w:rsidRPr="008C47CA" w:rsidRDefault="00837319" w:rsidP="00837319">
      <w:pPr>
        <w:widowControl/>
        <w:autoSpaceDE/>
        <w:autoSpaceDN/>
        <w:spacing w:before="120" w:after="120"/>
        <w:ind w:left="425"/>
        <w:jc w:val="both"/>
        <w:rPr>
          <w:rFonts w:ascii="Azo Sans Lt" w:hAnsi="Azo Sans Lt" w:cstheme="minorHAnsi"/>
        </w:rPr>
      </w:pPr>
    </w:p>
    <w:p w14:paraId="044FCB60" w14:textId="5F634010" w:rsidR="00010323" w:rsidRPr="00010323" w:rsidRDefault="00010323" w:rsidP="00F2457B">
      <w:pPr>
        <w:pStyle w:val="PargrafodaLista"/>
        <w:numPr>
          <w:ilvl w:val="0"/>
          <w:numId w:val="33"/>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0FFEFAB4" w:rsidR="00010323"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13927578" w:rsidR="00837319" w:rsidRPr="00837319" w:rsidRDefault="00837319" w:rsidP="00F2457B">
      <w:pPr>
        <w:pStyle w:val="Nivel01"/>
        <w:numPr>
          <w:ilvl w:val="0"/>
          <w:numId w:val="33"/>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F2457B">
      <w:pPr>
        <w:pStyle w:val="Nivel01"/>
        <w:numPr>
          <w:ilvl w:val="0"/>
          <w:numId w:val="33"/>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F2457B">
      <w:pPr>
        <w:widowControl/>
        <w:numPr>
          <w:ilvl w:val="1"/>
          <w:numId w:val="33"/>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lastRenderedPageBreak/>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0284C8C8"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4F1E22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D340B">
        <w:rPr>
          <w:rFonts w:ascii="Azo Sans Lt" w:hAnsi="Azo Sans Lt" w:cstheme="minorHAnsi"/>
        </w:rPr>
        <w:t>23.</w:t>
      </w:r>
    </w:p>
    <w:p w14:paraId="2EC4D5E8" w14:textId="77777777" w:rsidR="0076478F" w:rsidRPr="0075018C" w:rsidRDefault="0076478F"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7E7D28B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96E01">
      <w:headerReference w:type="default" r:id="rId8"/>
      <w:footerReference w:type="default" r:id="rId9"/>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1A7F5" w14:textId="77777777" w:rsidR="00071504" w:rsidRDefault="00071504">
      <w:r>
        <w:separator/>
      </w:r>
    </w:p>
  </w:endnote>
  <w:endnote w:type="continuationSeparator" w:id="0">
    <w:p w14:paraId="79B507CD" w14:textId="77777777" w:rsidR="00071504" w:rsidRDefault="0007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71612F6"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6478F" w:rsidRPr="0076478F">
        <w:rPr>
          <w:rStyle w:val="Hyperlink"/>
          <w:sz w:val="18"/>
          <w:szCs w:val="18"/>
        </w:rPr>
        <w:t>pregaoeletronico.friburgo@gmail.com</w:t>
      </w:r>
    </w:hyperlink>
    <w:r w:rsidR="0076478F">
      <w:t xml:space="preserve"> </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CA68" w14:textId="77777777" w:rsidR="00071504" w:rsidRDefault="00071504">
      <w:r>
        <w:separator/>
      </w:r>
    </w:p>
  </w:footnote>
  <w:footnote w:type="continuationSeparator" w:id="0">
    <w:p w14:paraId="28F3C992" w14:textId="77777777" w:rsidR="00071504" w:rsidRDefault="00071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103076390"/>
  <w:p w14:paraId="0A6B2CC1" w14:textId="79AEB49D" w:rsidR="009F2F85" w:rsidRPr="00A34F1E" w:rsidRDefault="00A34F1E" w:rsidP="00A34F1E">
    <w:pPr>
      <w:suppressAutoHyphens/>
      <w:rPr>
        <w:rFonts w:ascii="Arial" w:hAnsi="Arial" w:cs="Arial"/>
        <w:sz w:val="16"/>
        <w:szCs w:val="18"/>
      </w:rPr>
    </w:pPr>
    <w:r>
      <w:rPr>
        <w:noProof/>
      </w:rPr>
      <mc:AlternateContent>
        <mc:Choice Requires="wps">
          <w:drawing>
            <wp:anchor distT="0" distB="0" distL="0" distR="0" simplePos="0" relativeHeight="251659264" behindDoc="1" locked="0" layoutInCell="1" allowOverlap="1" wp14:anchorId="19DE085A" wp14:editId="75F3262E">
              <wp:simplePos x="0" y="0"/>
              <wp:positionH relativeFrom="column">
                <wp:posOffset>4170045</wp:posOffset>
              </wp:positionH>
              <wp:positionV relativeFrom="paragraph">
                <wp:posOffset>284480</wp:posOffset>
              </wp:positionV>
              <wp:extent cx="1876425" cy="408305"/>
              <wp:effectExtent l="0" t="0" r="28575" b="1079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6E19DE31" w14:textId="77777777" w:rsidR="00A34F1E" w:rsidRDefault="00A34F1E" w:rsidP="00A34F1E">
                          <w:pPr>
                            <w:pStyle w:val="SemEspaamento"/>
                            <w:rPr>
                              <w:rFonts w:cs="Calibri"/>
                              <w:sz w:val="20"/>
                              <w:szCs w:val="20"/>
                            </w:rPr>
                          </w:pPr>
                          <w:r>
                            <w:rPr>
                              <w:rFonts w:cs="Calibri"/>
                              <w:sz w:val="20"/>
                              <w:szCs w:val="20"/>
                            </w:rPr>
                            <w:t>PROCESSO Nº: 16.635/2023</w:t>
                          </w:r>
                        </w:p>
                        <w:p w14:paraId="716DF336" w14:textId="77777777" w:rsidR="00A34F1E" w:rsidRDefault="00A34F1E" w:rsidP="00A34F1E">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9DE085A" id="Retângulo 2" o:spid="_x0000_s1026" style="position:absolute;margin-left:328.35pt;margin-top:22.4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" strokeweight=".26mm">
              <v:stroke joinstyle="round"/>
              <v:path arrowok="t"/>
              <v:textbox>
                <w:txbxContent>
                  <w:p w14:paraId="6E19DE31" w14:textId="77777777" w:rsidR="00A34F1E" w:rsidRDefault="00A34F1E" w:rsidP="00A34F1E">
                    <w:pPr>
                      <w:pStyle w:val="SemEspaamento"/>
                      <w:rPr>
                        <w:rFonts w:cs="Calibri"/>
                        <w:sz w:val="20"/>
                        <w:szCs w:val="20"/>
                      </w:rPr>
                    </w:pPr>
                    <w:r>
                      <w:rPr>
                        <w:rFonts w:cs="Calibri"/>
                        <w:sz w:val="20"/>
                        <w:szCs w:val="20"/>
                      </w:rPr>
                      <w:t>PROCESSO Nº: 16.635/2023</w:t>
                    </w:r>
                  </w:p>
                  <w:p w14:paraId="716DF336" w14:textId="77777777" w:rsidR="00A34F1E" w:rsidRDefault="00A34F1E" w:rsidP="00A34F1E">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114300" distB="114300" distL="114300" distR="114300" simplePos="0" relativeHeight="251660288" behindDoc="1" locked="0" layoutInCell="0" allowOverlap="1" wp14:anchorId="0C0CA97A" wp14:editId="5CCE5D0C">
          <wp:simplePos x="0" y="0"/>
          <wp:positionH relativeFrom="column">
            <wp:posOffset>-54610</wp:posOffset>
          </wp:positionH>
          <wp:positionV relativeFrom="paragraph">
            <wp:posOffset>92075</wp:posOffset>
          </wp:positionV>
          <wp:extent cx="3803015" cy="947420"/>
          <wp:effectExtent l="0" t="0" r="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14" t="-63" r="-14" b="-63"/>
                  <a:stretch>
                    <a:fillRect/>
                  </a:stretch>
                </pic:blipFill>
                <pic:spPr bwMode="auto">
                  <a:xfrm>
                    <a:off x="0" y="0"/>
                    <a:ext cx="3803015" cy="947420"/>
                  </a:xfrm>
                  <a:prstGeom prst="rect">
                    <a:avLst/>
                  </a:prstGeom>
                  <a:noFill/>
                  <a:ln>
                    <a:noFill/>
                  </a:ln>
                </pic:spPr>
              </pic:pic>
            </a:graphicData>
          </a:graphic>
          <wp14:sizeRelH relativeFrom="margin">
            <wp14:pctWidth>0</wp14:pctWidth>
          </wp14:sizeRelH>
          <wp14:sizeRelV relativeFrom="page">
            <wp14:pctHeight>0</wp14:pctHeight>
          </wp14:sizeRelV>
        </wp:anchor>
      </w:drawing>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3CE5B3B"/>
    <w:multiLevelType w:val="multilevel"/>
    <w:tmpl w:val="823467FA"/>
    <w:lvl w:ilvl="0">
      <w:start w:val="5"/>
      <w:numFmt w:val="decimal"/>
      <w:lvlText w:val="%1"/>
      <w:lvlJc w:val="left"/>
      <w:pPr>
        <w:ind w:left="375" w:hanging="37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5F39560A"/>
    <w:multiLevelType w:val="multilevel"/>
    <w:tmpl w:val="1F2AF69E"/>
    <w:lvl w:ilvl="0">
      <w:start w:val="8"/>
      <w:numFmt w:val="decimal"/>
      <w:lvlText w:val="%1."/>
      <w:lvlJc w:val="left"/>
      <w:pPr>
        <w:ind w:left="480" w:hanging="480"/>
      </w:pPr>
      <w:rPr>
        <w:rFonts w:hint="default"/>
        <w:color w:val="000000"/>
      </w:rPr>
    </w:lvl>
    <w:lvl w:ilvl="1">
      <w:start w:val="6"/>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2160" w:hanging="216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2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E905F6A"/>
    <w:multiLevelType w:val="multilevel"/>
    <w:tmpl w:val="7A1CE0A4"/>
    <w:lvl w:ilvl="0">
      <w:start w:val="5"/>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26"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7D480310"/>
    <w:multiLevelType w:val="multilevel"/>
    <w:tmpl w:val="747E7552"/>
    <w:lvl w:ilvl="0">
      <w:start w:val="5"/>
      <w:numFmt w:val="decimal"/>
      <w:lvlText w:val="%1"/>
      <w:lvlJc w:val="left"/>
      <w:pPr>
        <w:ind w:left="360" w:hanging="360"/>
      </w:pPr>
      <w:rPr>
        <w:rFonts w:ascii="Leelawadee UI Semilight" w:eastAsia="MS PGothic" w:hAnsi="Leelawadee UI Semilight" w:cs="Leelawadee UI Semilight" w:hint="default"/>
        <w:sz w:val="24"/>
      </w:rPr>
    </w:lvl>
    <w:lvl w:ilvl="1">
      <w:start w:val="1"/>
      <w:numFmt w:val="decimal"/>
      <w:lvlText w:val="%1.%2"/>
      <w:lvlJc w:val="left"/>
      <w:pPr>
        <w:ind w:left="360" w:hanging="360"/>
      </w:pPr>
      <w:rPr>
        <w:rFonts w:ascii="Leelawadee UI Semilight" w:eastAsia="MS PGothic" w:hAnsi="Leelawadee UI Semilight" w:cs="Leelawadee UI Semilight" w:hint="default"/>
        <w:sz w:val="24"/>
      </w:rPr>
    </w:lvl>
    <w:lvl w:ilvl="2">
      <w:start w:val="1"/>
      <w:numFmt w:val="decimal"/>
      <w:lvlText w:val="%1.%2.%3"/>
      <w:lvlJc w:val="left"/>
      <w:pPr>
        <w:ind w:left="720" w:hanging="720"/>
      </w:pPr>
      <w:rPr>
        <w:rFonts w:ascii="Leelawadee UI Semilight" w:eastAsia="MS PGothic" w:hAnsi="Leelawadee UI Semilight" w:cs="Leelawadee UI Semilight" w:hint="default"/>
        <w:sz w:val="24"/>
      </w:rPr>
    </w:lvl>
    <w:lvl w:ilvl="3">
      <w:start w:val="1"/>
      <w:numFmt w:val="decimal"/>
      <w:lvlText w:val="%1.%2.%3.%4"/>
      <w:lvlJc w:val="left"/>
      <w:pPr>
        <w:ind w:left="720" w:hanging="720"/>
      </w:pPr>
      <w:rPr>
        <w:rFonts w:ascii="Leelawadee UI Semilight" w:eastAsia="MS PGothic" w:hAnsi="Leelawadee UI Semilight" w:cs="Leelawadee UI Semilight" w:hint="default"/>
        <w:sz w:val="24"/>
      </w:rPr>
    </w:lvl>
    <w:lvl w:ilvl="4">
      <w:start w:val="1"/>
      <w:numFmt w:val="decimal"/>
      <w:lvlText w:val="%1.%2.%3.%4.%5"/>
      <w:lvlJc w:val="left"/>
      <w:pPr>
        <w:ind w:left="1080" w:hanging="1080"/>
      </w:pPr>
      <w:rPr>
        <w:rFonts w:ascii="Leelawadee UI Semilight" w:eastAsia="MS PGothic" w:hAnsi="Leelawadee UI Semilight" w:cs="Leelawadee UI Semilight" w:hint="default"/>
        <w:sz w:val="24"/>
      </w:rPr>
    </w:lvl>
    <w:lvl w:ilvl="5">
      <w:start w:val="1"/>
      <w:numFmt w:val="decimal"/>
      <w:lvlText w:val="%1.%2.%3.%4.%5.%6"/>
      <w:lvlJc w:val="left"/>
      <w:pPr>
        <w:ind w:left="1080" w:hanging="1080"/>
      </w:pPr>
      <w:rPr>
        <w:rFonts w:ascii="Leelawadee UI Semilight" w:eastAsia="MS PGothic" w:hAnsi="Leelawadee UI Semilight" w:cs="Leelawadee UI Semilight" w:hint="default"/>
        <w:sz w:val="24"/>
      </w:rPr>
    </w:lvl>
    <w:lvl w:ilvl="6">
      <w:start w:val="1"/>
      <w:numFmt w:val="decimal"/>
      <w:lvlText w:val="%1.%2.%3.%4.%5.%6.%7"/>
      <w:lvlJc w:val="left"/>
      <w:pPr>
        <w:ind w:left="1440" w:hanging="1440"/>
      </w:pPr>
      <w:rPr>
        <w:rFonts w:ascii="Leelawadee UI Semilight" w:eastAsia="MS PGothic" w:hAnsi="Leelawadee UI Semilight" w:cs="Leelawadee UI Semilight" w:hint="default"/>
        <w:sz w:val="24"/>
      </w:rPr>
    </w:lvl>
    <w:lvl w:ilvl="7">
      <w:start w:val="1"/>
      <w:numFmt w:val="decimal"/>
      <w:lvlText w:val="%1.%2.%3.%4.%5.%6.%7.%8"/>
      <w:lvlJc w:val="left"/>
      <w:pPr>
        <w:ind w:left="1440" w:hanging="1440"/>
      </w:pPr>
      <w:rPr>
        <w:rFonts w:ascii="Leelawadee UI Semilight" w:eastAsia="MS PGothic" w:hAnsi="Leelawadee UI Semilight" w:cs="Leelawadee UI Semilight" w:hint="default"/>
        <w:sz w:val="24"/>
      </w:rPr>
    </w:lvl>
    <w:lvl w:ilvl="8">
      <w:start w:val="1"/>
      <w:numFmt w:val="decimal"/>
      <w:lvlText w:val="%1.%2.%3.%4.%5.%6.%7.%8.%9"/>
      <w:lvlJc w:val="left"/>
      <w:pPr>
        <w:ind w:left="1440" w:hanging="1440"/>
      </w:pPr>
      <w:rPr>
        <w:rFonts w:ascii="Leelawadee UI Semilight" w:eastAsia="MS PGothic" w:hAnsi="Leelawadee UI Semilight" w:cs="Leelawadee UI Semilight" w:hint="default"/>
        <w:sz w:val="24"/>
      </w:rPr>
    </w:lvl>
  </w:abstractNum>
  <w:abstractNum w:abstractNumId="30" w15:restartNumberingAfterBreak="0">
    <w:nsid w:val="7D601466"/>
    <w:multiLevelType w:val="multilevel"/>
    <w:tmpl w:val="7E4A3A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3"/>
  </w:num>
  <w:num w:numId="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3"/>
  </w:num>
  <w:num w:numId="9">
    <w:abstractNumId w:val="23"/>
  </w:num>
  <w:num w:numId="10">
    <w:abstractNumId w:val="18"/>
  </w:num>
  <w:num w:numId="11">
    <w:abstractNumId w:val="19"/>
  </w:num>
  <w:num w:numId="12">
    <w:abstractNumId w:val="26"/>
  </w:num>
  <w:num w:numId="13">
    <w:abstractNumId w:val="16"/>
  </w:num>
  <w:num w:numId="14">
    <w:abstractNumId w:val="28"/>
  </w:num>
  <w:num w:numId="15">
    <w:abstractNumId w:val="4"/>
  </w:num>
  <w:num w:numId="16">
    <w:abstractNumId w:val="11"/>
  </w:num>
  <w:num w:numId="17">
    <w:abstractNumId w:val="7"/>
  </w:num>
  <w:num w:numId="18">
    <w:abstractNumId w:val="27"/>
  </w:num>
  <w:num w:numId="19">
    <w:abstractNumId w:val="6"/>
  </w:num>
  <w:num w:numId="20">
    <w:abstractNumId w:val="9"/>
  </w:num>
  <w:num w:numId="21">
    <w:abstractNumId w:val="24"/>
  </w:num>
  <w:num w:numId="22">
    <w:abstractNumId w:val="20"/>
  </w:num>
  <w:num w:numId="23">
    <w:abstractNumId w:val="5"/>
  </w:num>
  <w:num w:numId="24">
    <w:abstractNumId w:val="22"/>
  </w:num>
  <w:num w:numId="25">
    <w:abstractNumId w:val="17"/>
  </w:num>
  <w:num w:numId="26">
    <w:abstractNumId w:val="8"/>
  </w:num>
  <w:num w:numId="27">
    <w:abstractNumId w:val="10"/>
  </w:num>
  <w:num w:numId="28">
    <w:abstractNumId w:val="2"/>
  </w:num>
  <w:num w:numId="29">
    <w:abstractNumId w:val="2"/>
  </w:num>
  <w:num w:numId="30">
    <w:abstractNumId w:val="12"/>
  </w:num>
  <w:num w:numId="31">
    <w:abstractNumId w:val="25"/>
  </w:num>
  <w:num w:numId="32">
    <w:abstractNumId w:val="15"/>
  </w:num>
  <w:num w:numId="33">
    <w:abstractNumId w:val="30"/>
  </w:num>
  <w:num w:numId="34">
    <w:abstractNumId w:val="29"/>
  </w:num>
  <w:num w:numId="35">
    <w:abstractNumId w:val="1"/>
  </w:num>
  <w:num w:numId="36">
    <w:abstractNumId w:val="1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71504"/>
    <w:rsid w:val="00080FB6"/>
    <w:rsid w:val="00092735"/>
    <w:rsid w:val="00096E01"/>
    <w:rsid w:val="00097D7B"/>
    <w:rsid w:val="000A43E3"/>
    <w:rsid w:val="000D2604"/>
    <w:rsid w:val="000D340B"/>
    <w:rsid w:val="000D6176"/>
    <w:rsid w:val="000E6000"/>
    <w:rsid w:val="000E6DAE"/>
    <w:rsid w:val="000F2826"/>
    <w:rsid w:val="00100FEB"/>
    <w:rsid w:val="0010179C"/>
    <w:rsid w:val="00102A53"/>
    <w:rsid w:val="001079D7"/>
    <w:rsid w:val="001272CC"/>
    <w:rsid w:val="001422DC"/>
    <w:rsid w:val="00145601"/>
    <w:rsid w:val="00165D70"/>
    <w:rsid w:val="001669F7"/>
    <w:rsid w:val="00171E18"/>
    <w:rsid w:val="00185DBF"/>
    <w:rsid w:val="00192123"/>
    <w:rsid w:val="001A0D41"/>
    <w:rsid w:val="001B5037"/>
    <w:rsid w:val="001D1890"/>
    <w:rsid w:val="001D24B2"/>
    <w:rsid w:val="001D32DF"/>
    <w:rsid w:val="001D4AC3"/>
    <w:rsid w:val="001E3568"/>
    <w:rsid w:val="001F44F7"/>
    <w:rsid w:val="00204C8A"/>
    <w:rsid w:val="00227DC7"/>
    <w:rsid w:val="00243E36"/>
    <w:rsid w:val="00251641"/>
    <w:rsid w:val="002556A7"/>
    <w:rsid w:val="00257093"/>
    <w:rsid w:val="002663BD"/>
    <w:rsid w:val="0028199E"/>
    <w:rsid w:val="0028504B"/>
    <w:rsid w:val="002863E6"/>
    <w:rsid w:val="002A6382"/>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F6934"/>
    <w:rsid w:val="00400AFC"/>
    <w:rsid w:val="00403108"/>
    <w:rsid w:val="0041063D"/>
    <w:rsid w:val="004139F4"/>
    <w:rsid w:val="00413F35"/>
    <w:rsid w:val="00417717"/>
    <w:rsid w:val="00427EB7"/>
    <w:rsid w:val="00436587"/>
    <w:rsid w:val="00461F93"/>
    <w:rsid w:val="00466BF6"/>
    <w:rsid w:val="0047582C"/>
    <w:rsid w:val="004959AC"/>
    <w:rsid w:val="004A09DC"/>
    <w:rsid w:val="004B5F41"/>
    <w:rsid w:val="004B7BD9"/>
    <w:rsid w:val="004E079B"/>
    <w:rsid w:val="004E221E"/>
    <w:rsid w:val="005241B8"/>
    <w:rsid w:val="005258A4"/>
    <w:rsid w:val="005466C3"/>
    <w:rsid w:val="00555D31"/>
    <w:rsid w:val="00563586"/>
    <w:rsid w:val="005C402B"/>
    <w:rsid w:val="005D7CC0"/>
    <w:rsid w:val="005E2922"/>
    <w:rsid w:val="005F5E8D"/>
    <w:rsid w:val="005F6177"/>
    <w:rsid w:val="00604469"/>
    <w:rsid w:val="0061177C"/>
    <w:rsid w:val="00617943"/>
    <w:rsid w:val="00617E05"/>
    <w:rsid w:val="00620E2E"/>
    <w:rsid w:val="006306EF"/>
    <w:rsid w:val="00637E49"/>
    <w:rsid w:val="00641674"/>
    <w:rsid w:val="00645026"/>
    <w:rsid w:val="00656265"/>
    <w:rsid w:val="006709DA"/>
    <w:rsid w:val="0067457F"/>
    <w:rsid w:val="00691421"/>
    <w:rsid w:val="006920D9"/>
    <w:rsid w:val="006B62AB"/>
    <w:rsid w:val="006D6562"/>
    <w:rsid w:val="006E5958"/>
    <w:rsid w:val="006E6D85"/>
    <w:rsid w:val="007023F6"/>
    <w:rsid w:val="007168B3"/>
    <w:rsid w:val="00735ADD"/>
    <w:rsid w:val="0075018C"/>
    <w:rsid w:val="00763341"/>
    <w:rsid w:val="0076478F"/>
    <w:rsid w:val="00773AA0"/>
    <w:rsid w:val="007767C7"/>
    <w:rsid w:val="00785D66"/>
    <w:rsid w:val="0079421E"/>
    <w:rsid w:val="007F7B13"/>
    <w:rsid w:val="00805F63"/>
    <w:rsid w:val="00814BB1"/>
    <w:rsid w:val="008221AF"/>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14408"/>
    <w:rsid w:val="009213D5"/>
    <w:rsid w:val="009257F4"/>
    <w:rsid w:val="009553C6"/>
    <w:rsid w:val="00971993"/>
    <w:rsid w:val="00974672"/>
    <w:rsid w:val="00974A4B"/>
    <w:rsid w:val="00975829"/>
    <w:rsid w:val="009877CB"/>
    <w:rsid w:val="009B6156"/>
    <w:rsid w:val="009D2A7F"/>
    <w:rsid w:val="009F2F85"/>
    <w:rsid w:val="00A06D2F"/>
    <w:rsid w:val="00A111BA"/>
    <w:rsid w:val="00A14FF7"/>
    <w:rsid w:val="00A229E2"/>
    <w:rsid w:val="00A22D23"/>
    <w:rsid w:val="00A327A0"/>
    <w:rsid w:val="00A34F1E"/>
    <w:rsid w:val="00A607D0"/>
    <w:rsid w:val="00A60CBE"/>
    <w:rsid w:val="00A74974"/>
    <w:rsid w:val="00A87002"/>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54162"/>
    <w:rsid w:val="00B676BB"/>
    <w:rsid w:val="00B923BE"/>
    <w:rsid w:val="00BA04A8"/>
    <w:rsid w:val="00BA1327"/>
    <w:rsid w:val="00BA2AC6"/>
    <w:rsid w:val="00BA68EF"/>
    <w:rsid w:val="00BB3B8F"/>
    <w:rsid w:val="00BB527C"/>
    <w:rsid w:val="00BE3C4E"/>
    <w:rsid w:val="00BE3CE6"/>
    <w:rsid w:val="00BE47A5"/>
    <w:rsid w:val="00BF3141"/>
    <w:rsid w:val="00C12366"/>
    <w:rsid w:val="00C55896"/>
    <w:rsid w:val="00C60E4D"/>
    <w:rsid w:val="00C74C9C"/>
    <w:rsid w:val="00C81B18"/>
    <w:rsid w:val="00C91A0C"/>
    <w:rsid w:val="00C96BF7"/>
    <w:rsid w:val="00CA5F9F"/>
    <w:rsid w:val="00CB6468"/>
    <w:rsid w:val="00CC288A"/>
    <w:rsid w:val="00CC5418"/>
    <w:rsid w:val="00CC666F"/>
    <w:rsid w:val="00CE1CB6"/>
    <w:rsid w:val="00CF0E69"/>
    <w:rsid w:val="00D01309"/>
    <w:rsid w:val="00D06A05"/>
    <w:rsid w:val="00D22F45"/>
    <w:rsid w:val="00D249B9"/>
    <w:rsid w:val="00D2776D"/>
    <w:rsid w:val="00D7299B"/>
    <w:rsid w:val="00D73E45"/>
    <w:rsid w:val="00DA0D02"/>
    <w:rsid w:val="00DB6EA1"/>
    <w:rsid w:val="00DD641A"/>
    <w:rsid w:val="00DF4390"/>
    <w:rsid w:val="00DF7D72"/>
    <w:rsid w:val="00E12775"/>
    <w:rsid w:val="00E151D6"/>
    <w:rsid w:val="00E16F02"/>
    <w:rsid w:val="00E26E61"/>
    <w:rsid w:val="00E27B1B"/>
    <w:rsid w:val="00E30BFB"/>
    <w:rsid w:val="00E40A97"/>
    <w:rsid w:val="00E4547A"/>
    <w:rsid w:val="00E46D0E"/>
    <w:rsid w:val="00E519FF"/>
    <w:rsid w:val="00E70AAD"/>
    <w:rsid w:val="00E73173"/>
    <w:rsid w:val="00E77501"/>
    <w:rsid w:val="00E8412F"/>
    <w:rsid w:val="00E84691"/>
    <w:rsid w:val="00E87FEF"/>
    <w:rsid w:val="00EB6B87"/>
    <w:rsid w:val="00EC5D61"/>
    <w:rsid w:val="00EC7959"/>
    <w:rsid w:val="00EE2035"/>
    <w:rsid w:val="00F2457B"/>
    <w:rsid w:val="00F336C7"/>
    <w:rsid w:val="00F37352"/>
    <w:rsid w:val="00F40051"/>
    <w:rsid w:val="00F45FFC"/>
    <w:rsid w:val="00F829FD"/>
    <w:rsid w:val="00F873EA"/>
    <w:rsid w:val="00F91F85"/>
    <w:rsid w:val="00FA611B"/>
    <w:rsid w:val="00FB230B"/>
    <w:rsid w:val="00FD2171"/>
    <w:rsid w:val="00FD3772"/>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B5F41"/>
    <w:rPr>
      <w:color w:val="605E5C"/>
      <w:shd w:val="clear" w:color="auto" w:fill="E1DFDD"/>
    </w:rPr>
  </w:style>
  <w:style w:type="paragraph" w:customStyle="1" w:styleId="PargrafodaLista3">
    <w:name w:val="Parágrafo da Lista3"/>
    <w:basedOn w:val="Normal"/>
    <w:rsid w:val="00427EB7"/>
    <w:pPr>
      <w:widowControl/>
      <w:suppressAutoHyphens/>
      <w:autoSpaceDE/>
      <w:autoSpaceDN/>
      <w:spacing w:after="200" w:line="276" w:lineRule="auto"/>
      <w:ind w:left="720"/>
      <w:contextualSpacing/>
    </w:pPr>
    <w:rPr>
      <w:rFonts w:ascii="Calibri" w:eastAsia="Times New Roman" w:hAnsi="Calibri" w:cs="Calibri"/>
      <w:color w:val="00000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9</Pages>
  <Words>2877</Words>
  <Characters>15539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117</cp:revision>
  <cp:lastPrinted>2023-12-20T14:23:00Z</cp:lastPrinted>
  <dcterms:created xsi:type="dcterms:W3CDTF">2021-07-06T19:42:00Z</dcterms:created>
  <dcterms:modified xsi:type="dcterms:W3CDTF">2023-12-20T14:23:00Z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